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2793" w14:textId="77777777" w:rsidR="000D77AA" w:rsidRPr="000D77AA" w:rsidRDefault="00A74ED6" w:rsidP="000D77AA">
      <w:pPr>
        <w:spacing w:before="120" w:after="60" w:line="276" w:lineRule="auto"/>
        <w:jc w:val="center"/>
        <w:rPr>
          <w:rFonts w:asciiTheme="majorBidi" w:hAnsiTheme="majorBidi" w:cstheme="majorBidi"/>
          <w:b/>
          <w:bCs/>
          <w:sz w:val="28"/>
          <w:szCs w:val="28"/>
          <w:u w:val="single"/>
          <w:lang w:val="en-US"/>
        </w:rPr>
      </w:pPr>
      <w:r w:rsidRPr="000D77AA">
        <w:rPr>
          <w:rFonts w:asciiTheme="majorBidi" w:hAnsiTheme="majorBidi" w:cstheme="majorBidi"/>
          <w:b/>
          <w:bCs/>
          <w:sz w:val="28"/>
          <w:szCs w:val="28"/>
          <w:u w:val="single"/>
          <w:lang w:val="en-US"/>
        </w:rPr>
        <w:t>IAI - Supplier Privacy Notice</w:t>
      </w:r>
    </w:p>
    <w:p w14:paraId="0EBE2AAA" w14:textId="504D193D" w:rsidR="000D77AA" w:rsidRPr="000D77AA" w:rsidRDefault="00A74ED6" w:rsidP="000D77AA">
      <w:pPr>
        <w:spacing w:before="120" w:after="60" w:line="276" w:lineRule="auto"/>
        <w:jc w:val="center"/>
        <w:rPr>
          <w:rFonts w:asciiTheme="majorBidi" w:hAnsiTheme="majorBidi" w:cstheme="majorBidi"/>
          <w:sz w:val="24"/>
          <w:szCs w:val="24"/>
          <w:lang w:val="en-US"/>
        </w:rPr>
      </w:pPr>
      <w:r w:rsidRPr="000D77AA">
        <w:rPr>
          <w:rFonts w:asciiTheme="majorBidi" w:hAnsiTheme="majorBidi" w:cstheme="majorBidi"/>
          <w:sz w:val="24"/>
          <w:szCs w:val="24"/>
          <w:lang w:val="en-US"/>
        </w:rPr>
        <w:t xml:space="preserve">[Last Updated: </w:t>
      </w:r>
      <w:r w:rsidR="00045BEE">
        <w:rPr>
          <w:rFonts w:asciiTheme="majorBidi" w:hAnsiTheme="majorBidi" w:cstheme="majorBidi"/>
          <w:sz w:val="24"/>
          <w:szCs w:val="24"/>
          <w:highlight w:val="yellow"/>
          <w:lang w:val="en-US"/>
        </w:rPr>
        <w:t>September</w:t>
      </w:r>
      <w:r w:rsidRPr="000D77AA">
        <w:rPr>
          <w:rFonts w:asciiTheme="majorBidi" w:hAnsiTheme="majorBidi" w:cstheme="majorBidi"/>
          <w:sz w:val="24"/>
          <w:szCs w:val="24"/>
          <w:highlight w:val="yellow"/>
          <w:lang w:val="en-US"/>
        </w:rPr>
        <w:t xml:space="preserve"> </w:t>
      </w:r>
      <w:r w:rsidR="0033315F">
        <w:rPr>
          <w:rFonts w:asciiTheme="majorBidi" w:hAnsiTheme="majorBidi" w:cstheme="majorBidi"/>
          <w:sz w:val="24"/>
          <w:szCs w:val="24"/>
          <w:lang w:val="en-US"/>
        </w:rPr>
        <w:t>15</w:t>
      </w:r>
      <w:r w:rsidRPr="000D77AA">
        <w:rPr>
          <w:rFonts w:asciiTheme="majorBidi" w:hAnsiTheme="majorBidi" w:cstheme="majorBidi"/>
          <w:sz w:val="24"/>
          <w:szCs w:val="24"/>
          <w:lang w:val="en-US"/>
        </w:rPr>
        <w:t xml:space="preserve"> 2026]</w:t>
      </w:r>
    </w:p>
    <w:p w14:paraId="307783B1" w14:textId="77777777" w:rsidR="000D77AA" w:rsidRPr="000D77AA" w:rsidRDefault="00A74ED6" w:rsidP="000D77AA">
      <w:pPr>
        <w:spacing w:before="120" w:after="60" w:line="276" w:lineRule="auto"/>
        <w:ind w:left="-142"/>
        <w:jc w:val="both"/>
        <w:rPr>
          <w:rFonts w:asciiTheme="majorBidi" w:hAnsiTheme="majorBidi" w:cstheme="majorBidi"/>
          <w:sz w:val="24"/>
          <w:szCs w:val="24"/>
          <w:lang w:val="en-US"/>
        </w:rPr>
      </w:pPr>
      <w:r w:rsidRPr="000D77AA">
        <w:rPr>
          <w:rFonts w:asciiTheme="majorBidi" w:hAnsiTheme="majorBidi" w:cstheme="majorBidi"/>
          <w:sz w:val="24"/>
          <w:szCs w:val="24"/>
          <w:lang w:val="en-US"/>
        </w:rPr>
        <w:t>As part of the engagement of Israel Aerospace Industries Ltd. and/or ELTA Systems Ltd. (collectively, “</w:t>
      </w:r>
      <w:r w:rsidRPr="000D77AA">
        <w:rPr>
          <w:rFonts w:asciiTheme="majorBidi" w:hAnsiTheme="majorBidi" w:cstheme="majorBidi"/>
          <w:b/>
          <w:bCs/>
          <w:sz w:val="24"/>
          <w:szCs w:val="24"/>
          <w:lang w:val="en-US"/>
        </w:rPr>
        <w:t>IAI</w:t>
      </w:r>
      <w:r w:rsidRPr="000D77AA">
        <w:rPr>
          <w:rFonts w:asciiTheme="majorBidi" w:hAnsiTheme="majorBidi" w:cstheme="majorBidi"/>
          <w:sz w:val="24"/>
          <w:szCs w:val="24"/>
          <w:lang w:val="en-US"/>
        </w:rPr>
        <w:t>”, “</w:t>
      </w:r>
      <w:r w:rsidRPr="000D77AA">
        <w:rPr>
          <w:rFonts w:asciiTheme="majorBidi" w:hAnsiTheme="majorBidi" w:cstheme="majorBidi"/>
          <w:b/>
          <w:bCs/>
          <w:sz w:val="24"/>
          <w:szCs w:val="24"/>
          <w:lang w:val="en-US"/>
        </w:rPr>
        <w:t>we</w:t>
      </w:r>
      <w:r w:rsidRPr="000D77AA">
        <w:rPr>
          <w:rFonts w:asciiTheme="majorBidi" w:hAnsiTheme="majorBidi" w:cstheme="majorBidi"/>
          <w:sz w:val="24"/>
          <w:szCs w:val="24"/>
          <w:lang w:val="en-US"/>
        </w:rPr>
        <w:t>”, “</w:t>
      </w:r>
      <w:r w:rsidRPr="000D77AA">
        <w:rPr>
          <w:rFonts w:asciiTheme="majorBidi" w:hAnsiTheme="majorBidi" w:cstheme="majorBidi"/>
          <w:b/>
          <w:bCs/>
          <w:sz w:val="24"/>
          <w:szCs w:val="24"/>
          <w:lang w:val="en-US"/>
        </w:rPr>
        <w:t>our</w:t>
      </w:r>
      <w:r w:rsidRPr="000D77AA">
        <w:rPr>
          <w:rFonts w:asciiTheme="majorBidi" w:hAnsiTheme="majorBidi" w:cstheme="majorBidi"/>
          <w:sz w:val="24"/>
          <w:szCs w:val="24"/>
          <w:lang w:val="en-US"/>
        </w:rPr>
        <w:t>” or “</w:t>
      </w:r>
      <w:r w:rsidRPr="000D77AA">
        <w:rPr>
          <w:rFonts w:asciiTheme="majorBidi" w:hAnsiTheme="majorBidi" w:cstheme="majorBidi"/>
          <w:b/>
          <w:bCs/>
          <w:sz w:val="24"/>
          <w:szCs w:val="24"/>
          <w:lang w:val="en-US"/>
        </w:rPr>
        <w:t>us</w:t>
      </w:r>
      <w:r w:rsidRPr="000D77AA">
        <w:rPr>
          <w:rFonts w:asciiTheme="majorBidi" w:hAnsiTheme="majorBidi" w:cstheme="majorBidi"/>
          <w:sz w:val="24"/>
          <w:szCs w:val="24"/>
          <w:lang w:val="en-US"/>
        </w:rPr>
        <w:t>”) with third parties that provide us with products or services, we collect and otherwise process information, including personal data (information that identifies an individual or that may, with reasonable effort, identify an individual) (“</w:t>
      </w:r>
      <w:r w:rsidRPr="000D77AA">
        <w:rPr>
          <w:rFonts w:asciiTheme="majorBidi" w:hAnsiTheme="majorBidi" w:cstheme="majorBidi"/>
          <w:b/>
          <w:bCs/>
          <w:sz w:val="24"/>
          <w:szCs w:val="24"/>
          <w:lang w:val="en-US"/>
        </w:rPr>
        <w:t>Personal Data</w:t>
      </w:r>
      <w:r w:rsidRPr="000D77AA">
        <w:rPr>
          <w:rFonts w:asciiTheme="majorBidi" w:hAnsiTheme="majorBidi" w:cstheme="majorBidi"/>
          <w:sz w:val="24"/>
          <w:szCs w:val="24"/>
          <w:lang w:val="en-US"/>
        </w:rPr>
        <w:t>”).</w:t>
      </w:r>
    </w:p>
    <w:p w14:paraId="7403DF29" w14:textId="517B46AE" w:rsidR="000D77AA" w:rsidRPr="000D77AA" w:rsidRDefault="00A74ED6" w:rsidP="000D77AA">
      <w:pPr>
        <w:spacing w:before="120" w:after="60" w:line="276" w:lineRule="auto"/>
        <w:ind w:left="-142"/>
        <w:jc w:val="both"/>
        <w:rPr>
          <w:rFonts w:asciiTheme="majorBidi" w:hAnsiTheme="majorBidi" w:cstheme="majorBidi"/>
          <w:sz w:val="24"/>
          <w:szCs w:val="24"/>
          <w:lang w:val="en-US"/>
        </w:rPr>
      </w:pPr>
      <w:r w:rsidRPr="000D77AA">
        <w:rPr>
          <w:rFonts w:asciiTheme="majorBidi" w:hAnsiTheme="majorBidi" w:cstheme="majorBidi"/>
          <w:sz w:val="24"/>
          <w:szCs w:val="24"/>
          <w:lang w:val="en-US"/>
        </w:rPr>
        <w:t xml:space="preserve">This Privacy Notice is intended to include the notices and disclosures that may be required under applicable data protection laws, including, where applicable, the EU </w:t>
      </w:r>
      <w:r w:rsidR="00786150">
        <w:rPr>
          <w:rFonts w:asciiTheme="majorBidi" w:hAnsiTheme="majorBidi" w:cstheme="majorBidi"/>
          <w:sz w:val="24"/>
          <w:szCs w:val="24"/>
          <w:lang w:val="en-US"/>
        </w:rPr>
        <w:t xml:space="preserve">General </w:t>
      </w:r>
      <w:r w:rsidRPr="000D77AA">
        <w:rPr>
          <w:rFonts w:asciiTheme="majorBidi" w:hAnsiTheme="majorBidi" w:cstheme="majorBidi"/>
          <w:sz w:val="24"/>
          <w:szCs w:val="24"/>
          <w:lang w:val="en-US"/>
        </w:rPr>
        <w:t>Data Protection Regulation (collectively, “</w:t>
      </w:r>
      <w:r w:rsidRPr="000D77AA">
        <w:rPr>
          <w:rFonts w:asciiTheme="majorBidi" w:hAnsiTheme="majorBidi" w:cstheme="majorBidi"/>
          <w:b/>
          <w:bCs/>
          <w:sz w:val="24"/>
          <w:szCs w:val="24"/>
          <w:lang w:val="en-US"/>
        </w:rPr>
        <w:t>GDPR</w:t>
      </w:r>
      <w:r w:rsidRPr="000D77AA">
        <w:rPr>
          <w:rFonts w:asciiTheme="majorBidi" w:hAnsiTheme="majorBidi" w:cstheme="majorBidi"/>
          <w:sz w:val="24"/>
          <w:szCs w:val="24"/>
          <w:lang w:val="en-US"/>
        </w:rPr>
        <w:t xml:space="preserve">”), and </w:t>
      </w:r>
      <w:r w:rsidR="000C49FA">
        <w:rPr>
          <w:rFonts w:asciiTheme="majorBidi" w:hAnsiTheme="majorBidi" w:cstheme="majorBidi"/>
          <w:sz w:val="24"/>
          <w:szCs w:val="24"/>
          <w:lang w:val="en-US"/>
        </w:rPr>
        <w:t xml:space="preserve">the Israeli </w:t>
      </w:r>
      <w:r w:rsidRPr="000D77AA">
        <w:rPr>
          <w:rFonts w:asciiTheme="majorBidi" w:hAnsiTheme="majorBidi" w:cstheme="majorBidi"/>
          <w:sz w:val="24"/>
          <w:szCs w:val="24"/>
          <w:lang w:val="en-US"/>
        </w:rPr>
        <w:t>Protection of Privacy Law, 5741-1981 (“</w:t>
      </w:r>
      <w:r w:rsidRPr="000D77AA">
        <w:rPr>
          <w:rFonts w:asciiTheme="majorBidi" w:hAnsiTheme="majorBidi" w:cstheme="majorBidi"/>
          <w:b/>
          <w:bCs/>
          <w:sz w:val="24"/>
          <w:szCs w:val="24"/>
          <w:lang w:val="en-US"/>
        </w:rPr>
        <w:t>IPPL</w:t>
      </w:r>
      <w:r w:rsidRPr="000D77AA">
        <w:rPr>
          <w:rFonts w:asciiTheme="majorBidi" w:hAnsiTheme="majorBidi" w:cstheme="majorBidi"/>
          <w:sz w:val="24"/>
          <w:szCs w:val="24"/>
          <w:lang w:val="en-US"/>
        </w:rPr>
        <w:t>”).</w:t>
      </w:r>
    </w:p>
    <w:p w14:paraId="53951B22" w14:textId="77777777" w:rsidR="000D77AA" w:rsidRPr="000D77AA" w:rsidRDefault="00A74ED6" w:rsidP="000D77AA">
      <w:pPr>
        <w:spacing w:before="120" w:after="60" w:line="276" w:lineRule="auto"/>
        <w:ind w:left="-142"/>
        <w:jc w:val="both"/>
        <w:rPr>
          <w:rFonts w:asciiTheme="majorBidi" w:hAnsiTheme="majorBidi" w:cstheme="majorBidi"/>
          <w:sz w:val="24"/>
          <w:szCs w:val="24"/>
          <w:lang w:val="en-US"/>
        </w:rPr>
      </w:pPr>
      <w:r w:rsidRPr="000D77AA">
        <w:rPr>
          <w:rFonts w:asciiTheme="majorBidi" w:hAnsiTheme="majorBidi" w:cstheme="majorBidi"/>
          <w:sz w:val="24"/>
          <w:szCs w:val="24"/>
          <w:lang w:val="en-US"/>
        </w:rPr>
        <w:t>This Privacy Notice is intended to explain how IAI collects, uses, discloses, and otherwise processes Personal Data relating to representatives of third parties, or to the third parties themselves if they are individuals or sole proprietors (“</w:t>
      </w:r>
      <w:r w:rsidRPr="000D77AA">
        <w:rPr>
          <w:rFonts w:asciiTheme="majorBidi" w:hAnsiTheme="majorBidi" w:cstheme="majorBidi"/>
          <w:b/>
          <w:bCs/>
          <w:sz w:val="24"/>
          <w:szCs w:val="24"/>
          <w:lang w:val="en-US"/>
        </w:rPr>
        <w:t>Supplier(s)</w:t>
      </w:r>
      <w:r w:rsidRPr="000D77AA">
        <w:rPr>
          <w:rFonts w:asciiTheme="majorBidi" w:hAnsiTheme="majorBidi" w:cstheme="majorBidi"/>
          <w:sz w:val="24"/>
          <w:szCs w:val="24"/>
          <w:lang w:val="en-US"/>
        </w:rPr>
        <w:t>”</w:t>
      </w:r>
      <w:r w:rsidRPr="000D77AA">
        <w:rPr>
          <w:rFonts w:asciiTheme="majorBidi" w:hAnsiTheme="majorBidi" w:cstheme="majorBidi"/>
          <w:sz w:val="24"/>
          <w:szCs w:val="24"/>
          <w:rtl/>
          <w:lang w:val="en-US"/>
        </w:rPr>
        <w:t xml:space="preserve"> </w:t>
      </w:r>
      <w:r w:rsidRPr="000D77AA">
        <w:rPr>
          <w:rFonts w:asciiTheme="majorBidi" w:hAnsiTheme="majorBidi" w:cstheme="majorBidi"/>
          <w:sz w:val="24"/>
          <w:szCs w:val="24"/>
          <w:lang w:val="en-US"/>
        </w:rPr>
        <w:t>or “</w:t>
      </w:r>
      <w:r w:rsidRPr="000D77AA">
        <w:rPr>
          <w:rFonts w:asciiTheme="majorBidi" w:hAnsiTheme="majorBidi" w:cstheme="majorBidi"/>
          <w:b/>
          <w:bCs/>
          <w:sz w:val="24"/>
          <w:szCs w:val="24"/>
          <w:lang w:val="en-US"/>
        </w:rPr>
        <w:t>you</w:t>
      </w:r>
      <w:r w:rsidRPr="000D77AA">
        <w:rPr>
          <w:rFonts w:asciiTheme="majorBidi" w:hAnsiTheme="majorBidi" w:cstheme="majorBidi"/>
          <w:sz w:val="24"/>
          <w:szCs w:val="24"/>
          <w:lang w:val="en-US"/>
        </w:rPr>
        <w:t>”), as detailed below:</w:t>
      </w:r>
    </w:p>
    <w:p w14:paraId="1A3ECF48" w14:textId="614BFCCD"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Methods of Personal Data Collection</w:t>
      </w:r>
      <w:r w:rsidRPr="000D77AA">
        <w:rPr>
          <w:rFonts w:asciiTheme="majorBidi" w:hAnsiTheme="majorBidi" w:cstheme="majorBidi"/>
          <w:sz w:val="24"/>
          <w:szCs w:val="24"/>
          <w:lang w:val="en-US"/>
        </w:rPr>
        <w:t xml:space="preserve">: IAI collects Personal Data about Suppliers in several ways: directly from Suppliers in the context of an inquiry to assess the possibility of entering into an engagement, during the engagement process, and on an ongoing basis throughout the term of the engagement as part of the ongoing management of, and interaction with, Suppliers, including in conversations and correspondence between IAI representatives and Suppliers, as well as in connection with Suppliers' use of IAI's supplier portal, available here </w:t>
      </w:r>
      <w:r w:rsidRPr="000D77AA">
        <w:rPr>
          <w:rFonts w:asciiTheme="majorBidi" w:hAnsiTheme="majorBidi" w:cstheme="majorBidi"/>
          <w:sz w:val="24"/>
          <w:szCs w:val="24"/>
          <w:highlight w:val="yellow"/>
          <w:lang w:val="en-US"/>
        </w:rPr>
        <w:t>[</w:t>
      </w:r>
      <w:hyperlink r:id="rId8" w:history="1">
        <w:r w:rsidRPr="00261EC0">
          <w:rPr>
            <w:rStyle w:val="Hyperlink"/>
            <w:rFonts w:asciiTheme="majorBidi" w:hAnsiTheme="majorBidi" w:cstheme="majorBidi"/>
            <w:sz w:val="24"/>
            <w:szCs w:val="24"/>
            <w:highlight w:val="yellow"/>
            <w:lang w:val="en-US"/>
          </w:rPr>
          <w:t>link</w:t>
        </w:r>
      </w:hyperlink>
      <w:r w:rsidRPr="000D77AA">
        <w:rPr>
          <w:rFonts w:asciiTheme="majorBidi" w:hAnsiTheme="majorBidi" w:cstheme="majorBidi"/>
          <w:sz w:val="24"/>
          <w:szCs w:val="24"/>
          <w:highlight w:val="yellow"/>
          <w:lang w:val="en-US"/>
        </w:rPr>
        <w:t>]</w:t>
      </w:r>
      <w:r w:rsidRPr="000D77AA">
        <w:rPr>
          <w:rFonts w:asciiTheme="majorBidi" w:hAnsiTheme="majorBidi" w:cstheme="majorBidi"/>
          <w:sz w:val="24"/>
          <w:szCs w:val="24"/>
          <w:lang w:val="en-US"/>
        </w:rPr>
        <w:t xml:space="preserve"> (“</w:t>
      </w:r>
      <w:r w:rsidRPr="000D77AA">
        <w:rPr>
          <w:rFonts w:asciiTheme="majorBidi" w:hAnsiTheme="majorBidi" w:cstheme="majorBidi"/>
          <w:b/>
          <w:bCs/>
          <w:sz w:val="24"/>
          <w:szCs w:val="24"/>
          <w:lang w:val="en-US"/>
        </w:rPr>
        <w:t>Supplier Portal</w:t>
      </w:r>
      <w:r w:rsidRPr="000D77AA">
        <w:rPr>
          <w:rFonts w:asciiTheme="majorBidi" w:hAnsiTheme="majorBidi" w:cstheme="majorBidi"/>
          <w:sz w:val="24"/>
          <w:szCs w:val="24"/>
          <w:lang w:val="en-US"/>
        </w:rPr>
        <w:t xml:space="preserve">”). In addition, Personal Data about Suppliers is collected from third parties in connection with the use of the Supplier Portal, as detailed in the </w:t>
      </w:r>
      <w:r w:rsidR="00932CB0">
        <w:rPr>
          <w:rFonts w:asciiTheme="majorBidi" w:hAnsiTheme="majorBidi" w:cstheme="majorBidi"/>
          <w:sz w:val="24"/>
          <w:szCs w:val="24"/>
          <w:lang w:val="en-US"/>
        </w:rPr>
        <w:t xml:space="preserve">Cookie </w:t>
      </w:r>
      <w:r w:rsidR="00321411">
        <w:rPr>
          <w:rFonts w:asciiTheme="majorBidi" w:hAnsiTheme="majorBidi" w:cstheme="majorBidi"/>
          <w:sz w:val="24"/>
          <w:szCs w:val="24"/>
          <w:lang w:val="en-US"/>
        </w:rPr>
        <w:t>P</w:t>
      </w:r>
      <w:r w:rsidR="00932CB0">
        <w:rPr>
          <w:rFonts w:asciiTheme="majorBidi" w:hAnsiTheme="majorBidi" w:cstheme="majorBidi"/>
          <w:sz w:val="24"/>
          <w:szCs w:val="24"/>
          <w:lang w:val="en-US"/>
        </w:rPr>
        <w:t>olicy</w:t>
      </w:r>
      <w:r w:rsidRPr="000D77AA">
        <w:rPr>
          <w:rFonts w:asciiTheme="majorBidi" w:hAnsiTheme="majorBidi" w:cstheme="majorBidi"/>
          <w:sz w:val="24"/>
          <w:szCs w:val="24"/>
          <w:lang w:val="en-US"/>
        </w:rPr>
        <w:t xml:space="preserve">, available here </w:t>
      </w:r>
      <w:r w:rsidRPr="000D77AA">
        <w:rPr>
          <w:rFonts w:asciiTheme="majorBidi" w:hAnsiTheme="majorBidi" w:cstheme="majorBidi"/>
          <w:sz w:val="24"/>
          <w:szCs w:val="24"/>
          <w:highlight w:val="yellow"/>
          <w:lang w:val="en-US"/>
        </w:rPr>
        <w:t>[</w:t>
      </w:r>
      <w:hyperlink r:id="rId9" w:history="1">
        <w:r w:rsidRPr="0033315F">
          <w:rPr>
            <w:rStyle w:val="Hyperlink"/>
            <w:rFonts w:asciiTheme="majorBidi" w:hAnsiTheme="majorBidi" w:cstheme="majorBidi"/>
            <w:sz w:val="24"/>
            <w:szCs w:val="24"/>
            <w:highlight w:val="yellow"/>
            <w:lang w:val="en-US"/>
          </w:rPr>
          <w:t>link</w:t>
        </w:r>
      </w:hyperlink>
      <w:r w:rsidRPr="000D77AA">
        <w:rPr>
          <w:rFonts w:asciiTheme="majorBidi" w:hAnsiTheme="majorBidi" w:cstheme="majorBidi"/>
          <w:sz w:val="24"/>
          <w:szCs w:val="24"/>
          <w:highlight w:val="yellow"/>
          <w:lang w:val="en-US"/>
        </w:rPr>
        <w:t>]</w:t>
      </w:r>
      <w:r w:rsidRPr="000D77AA">
        <w:rPr>
          <w:rFonts w:asciiTheme="majorBidi" w:hAnsiTheme="majorBidi" w:cstheme="majorBidi"/>
          <w:sz w:val="24"/>
          <w:szCs w:val="24"/>
          <w:lang w:val="en-US"/>
        </w:rPr>
        <w:t>.</w:t>
      </w:r>
    </w:p>
    <w:p w14:paraId="76A2AE28" w14:textId="477D7F48"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Types of Personal Data</w:t>
      </w:r>
      <w:r w:rsidRPr="000D77AA">
        <w:rPr>
          <w:rFonts w:asciiTheme="majorBidi" w:hAnsiTheme="majorBidi" w:cstheme="majorBidi"/>
          <w:sz w:val="24"/>
          <w:szCs w:val="24"/>
          <w:lang w:val="en-US"/>
        </w:rPr>
        <w:t xml:space="preserve">: The Personal Data that IAI collects about Suppliers includes the following types of information: contact details, including full name, email address, and mobile phone number; bank account details, to the extent these are the bank account details of an individual, for example, where the Supplier is a sole proprietor; ID number; and technical data collected in connection with use of the Supplier Portal, as detailed in the </w:t>
      </w:r>
      <w:r w:rsidR="00932CB0">
        <w:rPr>
          <w:rFonts w:asciiTheme="majorBidi" w:hAnsiTheme="majorBidi" w:cstheme="majorBidi"/>
          <w:sz w:val="24"/>
          <w:szCs w:val="24"/>
          <w:lang w:val="en-US"/>
        </w:rPr>
        <w:t xml:space="preserve">Cookie </w:t>
      </w:r>
      <w:r w:rsidR="00EC159E">
        <w:rPr>
          <w:rFonts w:asciiTheme="majorBidi" w:hAnsiTheme="majorBidi" w:cstheme="majorBidi"/>
          <w:sz w:val="24"/>
          <w:szCs w:val="24"/>
          <w:lang w:val="en-US"/>
        </w:rPr>
        <w:t>P</w:t>
      </w:r>
      <w:r w:rsidR="00932CB0">
        <w:rPr>
          <w:rFonts w:asciiTheme="majorBidi" w:hAnsiTheme="majorBidi" w:cstheme="majorBidi"/>
          <w:sz w:val="24"/>
          <w:szCs w:val="24"/>
          <w:lang w:val="en-US"/>
        </w:rPr>
        <w:t>olicy</w:t>
      </w:r>
      <w:r w:rsidRPr="000D77AA">
        <w:rPr>
          <w:rFonts w:asciiTheme="majorBidi" w:hAnsiTheme="majorBidi" w:cstheme="majorBidi"/>
          <w:sz w:val="24"/>
          <w:szCs w:val="24"/>
          <w:lang w:val="en-US"/>
        </w:rPr>
        <w:t xml:space="preserve">, available here </w:t>
      </w:r>
      <w:r w:rsidRPr="000D77AA">
        <w:rPr>
          <w:rFonts w:asciiTheme="majorBidi" w:hAnsiTheme="majorBidi" w:cstheme="majorBidi"/>
          <w:sz w:val="24"/>
          <w:szCs w:val="24"/>
          <w:highlight w:val="yellow"/>
          <w:lang w:val="en-US"/>
        </w:rPr>
        <w:t>[</w:t>
      </w:r>
      <w:hyperlink r:id="rId10" w:history="1">
        <w:r w:rsidRPr="0033315F">
          <w:rPr>
            <w:rStyle w:val="Hyperlink"/>
            <w:rFonts w:asciiTheme="majorBidi" w:hAnsiTheme="majorBidi" w:cstheme="majorBidi"/>
            <w:sz w:val="24"/>
            <w:szCs w:val="24"/>
            <w:highlight w:val="yellow"/>
            <w:lang w:val="en-US"/>
          </w:rPr>
          <w:t>link</w:t>
        </w:r>
      </w:hyperlink>
      <w:r w:rsidRPr="000D77AA">
        <w:rPr>
          <w:rFonts w:asciiTheme="majorBidi" w:hAnsiTheme="majorBidi" w:cstheme="majorBidi"/>
          <w:sz w:val="24"/>
          <w:szCs w:val="24"/>
          <w:highlight w:val="yellow"/>
          <w:lang w:val="en-US"/>
        </w:rPr>
        <w:t>]</w:t>
      </w:r>
      <w:r w:rsidRPr="000D77AA">
        <w:rPr>
          <w:rFonts w:asciiTheme="majorBidi" w:hAnsiTheme="majorBidi" w:cstheme="majorBidi"/>
          <w:sz w:val="24"/>
          <w:szCs w:val="24"/>
          <w:lang w:val="en-US"/>
        </w:rPr>
        <w:t>.</w:t>
      </w:r>
    </w:p>
    <w:p w14:paraId="5A002CCA" w14:textId="77777777"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Purposes of Use of the Personal Data</w:t>
      </w:r>
      <w:r w:rsidRPr="000D77AA">
        <w:rPr>
          <w:rFonts w:asciiTheme="majorBidi" w:hAnsiTheme="majorBidi" w:cstheme="majorBidi"/>
          <w:sz w:val="24"/>
          <w:szCs w:val="24"/>
          <w:lang w:val="en-US"/>
        </w:rPr>
        <w:t>: IAI will use the Personal Data collected about Suppliers, as described above, for the following purposes: managing engagements with Suppliers, including making payments; complying with legal requirements, instructions from a competent authority, or court orders; carrying out organizational processes and reporting to authorities; conducting background checks on Suppliers and the services provided by them or by the organization they represent; opening a supplier file during onboarding; and documenting and retaining invoices for bookkeeping purposes.</w:t>
      </w:r>
    </w:p>
    <w:p w14:paraId="53C32FC0" w14:textId="77777777"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lastRenderedPageBreak/>
        <w:t>Legal Bases for Processing Personal Data</w:t>
      </w:r>
      <w:r w:rsidRPr="000D77AA">
        <w:rPr>
          <w:rFonts w:asciiTheme="majorBidi" w:hAnsiTheme="majorBidi" w:cstheme="majorBidi"/>
          <w:sz w:val="24"/>
          <w:szCs w:val="24"/>
          <w:lang w:val="en-US"/>
        </w:rPr>
        <w:t>:</w:t>
      </w:r>
      <w:r w:rsidRPr="000D77AA">
        <w:rPr>
          <w:rFonts w:asciiTheme="majorBidi" w:hAnsiTheme="majorBidi" w:cstheme="majorBidi"/>
          <w:sz w:val="24"/>
          <w:szCs w:val="24"/>
          <w:rtl/>
          <w:lang w:val="en-US"/>
        </w:rPr>
        <w:t xml:space="preserve"> </w:t>
      </w:r>
      <w:r w:rsidRPr="000D77AA">
        <w:rPr>
          <w:rFonts w:asciiTheme="majorBidi" w:hAnsiTheme="majorBidi" w:cstheme="majorBidi"/>
          <w:sz w:val="24"/>
          <w:szCs w:val="24"/>
          <w:lang w:val="en-US"/>
        </w:rPr>
        <w:t>Depending on the applicable law, the main lawful bases for processing your Personal Data are as follows:</w:t>
      </w:r>
    </w:p>
    <w:p w14:paraId="020BC7F3" w14:textId="74DB8F47" w:rsidR="000D77AA" w:rsidRPr="000D77AA" w:rsidRDefault="00A74ED6" w:rsidP="000D77AA">
      <w:pPr>
        <w:numPr>
          <w:ilvl w:val="0"/>
          <w:numId w:val="3"/>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sz w:val="24"/>
          <w:szCs w:val="24"/>
          <w:u w:val="single"/>
          <w:lang w:val="en-US"/>
        </w:rPr>
        <w:t>Where the GDPR applies</w:t>
      </w:r>
      <w:r w:rsidRPr="000D77AA">
        <w:rPr>
          <w:rFonts w:asciiTheme="majorBidi" w:hAnsiTheme="majorBidi" w:cstheme="majorBidi"/>
          <w:sz w:val="24"/>
          <w:szCs w:val="24"/>
          <w:lang w:val="en-US"/>
        </w:rPr>
        <w:t>: IAI processes the contact details, bank account details, and ID number referred to in section 2 above for the purpose of performing its contract with the Supplier. In addition, IAI process</w:t>
      </w:r>
      <w:r w:rsidR="00B33FE9">
        <w:rPr>
          <w:rFonts w:asciiTheme="majorBidi" w:hAnsiTheme="majorBidi" w:cstheme="majorBidi"/>
          <w:sz w:val="24"/>
          <w:szCs w:val="24"/>
          <w:lang w:val="en-US"/>
        </w:rPr>
        <w:t>es</w:t>
      </w:r>
      <w:r w:rsidRPr="000D77AA">
        <w:rPr>
          <w:rFonts w:asciiTheme="majorBidi" w:hAnsiTheme="majorBidi" w:cstheme="majorBidi"/>
          <w:sz w:val="24"/>
          <w:szCs w:val="24"/>
          <w:lang w:val="en-US"/>
        </w:rPr>
        <w:t xml:space="preserve"> such Personal Data for security purposes, fraud prevention, and assessing the Supplier's suitability and eligibility, where such processing is based on IAI's legitimate interests. Where required under applicable law, IAI also process</w:t>
      </w:r>
      <w:r w:rsidR="00EC55EE">
        <w:rPr>
          <w:rFonts w:asciiTheme="majorBidi" w:hAnsiTheme="majorBidi" w:cstheme="majorBidi"/>
          <w:sz w:val="24"/>
          <w:szCs w:val="24"/>
          <w:lang w:val="en-US"/>
        </w:rPr>
        <w:t>es</w:t>
      </w:r>
      <w:r w:rsidRPr="000D77AA">
        <w:rPr>
          <w:rFonts w:asciiTheme="majorBidi" w:hAnsiTheme="majorBidi" w:cstheme="majorBidi"/>
          <w:sz w:val="24"/>
          <w:szCs w:val="24"/>
          <w:lang w:val="en-US"/>
        </w:rPr>
        <w:t xml:space="preserve"> such Personal Data </w:t>
      </w:r>
      <w:r w:rsidR="00D96A3D" w:rsidRPr="000D77AA">
        <w:rPr>
          <w:rFonts w:asciiTheme="majorBidi" w:hAnsiTheme="majorBidi" w:cstheme="majorBidi"/>
          <w:sz w:val="24"/>
          <w:szCs w:val="24"/>
          <w:lang w:val="en-US"/>
        </w:rPr>
        <w:t>to</w:t>
      </w:r>
      <w:r w:rsidRPr="000D77AA">
        <w:rPr>
          <w:rFonts w:asciiTheme="majorBidi" w:hAnsiTheme="majorBidi" w:cstheme="majorBidi"/>
          <w:sz w:val="24"/>
          <w:szCs w:val="24"/>
          <w:lang w:val="en-US"/>
        </w:rPr>
        <w:t xml:space="preserve"> comply with its legal obligations. To the extent required under applicable law, Personal Data provided by the Supplier in the context of an inquiry or request </w:t>
      </w:r>
      <w:r w:rsidR="00D045E2">
        <w:rPr>
          <w:rFonts w:asciiTheme="majorBidi" w:hAnsiTheme="majorBidi" w:cstheme="majorBidi"/>
          <w:sz w:val="24"/>
          <w:szCs w:val="24"/>
          <w:lang w:val="en-US"/>
        </w:rPr>
        <w:t>would</w:t>
      </w:r>
      <w:r w:rsidRPr="000D77AA">
        <w:rPr>
          <w:rFonts w:asciiTheme="majorBidi" w:hAnsiTheme="majorBidi" w:cstheme="majorBidi"/>
          <w:sz w:val="24"/>
          <w:szCs w:val="24"/>
          <w:lang w:val="en-US"/>
        </w:rPr>
        <w:t xml:space="preserve"> also be processed based on the Supplier's consent.</w:t>
      </w:r>
    </w:p>
    <w:p w14:paraId="190257AC" w14:textId="77777777" w:rsidR="000D77AA" w:rsidRPr="000D77AA" w:rsidRDefault="00A74ED6" w:rsidP="000D77AA">
      <w:pPr>
        <w:numPr>
          <w:ilvl w:val="0"/>
          <w:numId w:val="3"/>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sz w:val="24"/>
          <w:szCs w:val="24"/>
          <w:u w:val="single"/>
          <w:lang w:val="en-US"/>
        </w:rPr>
        <w:t>Where IPPL applies</w:t>
      </w:r>
      <w:r w:rsidRPr="000D77AA">
        <w:rPr>
          <w:rFonts w:asciiTheme="majorBidi" w:hAnsiTheme="majorBidi" w:cstheme="majorBidi"/>
          <w:sz w:val="24"/>
          <w:szCs w:val="24"/>
          <w:lang w:val="en-US"/>
        </w:rPr>
        <w:t>: Suppliers are under no statutory obligation to provide IAI with Personal Data about themselves, and any such Personal Data is provided based on the Supplier's consent. However, if certain Personal Data is not provided, IAI may be unable to engage with the Supplier and/or fulfill its contractual obligations, for example, by making payment for the Supplier's services or those of the organization it represents.</w:t>
      </w:r>
    </w:p>
    <w:p w14:paraId="09EA2347" w14:textId="1068802E"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Disclosure of Personal Data</w:t>
      </w:r>
      <w:r w:rsidRPr="000D77AA">
        <w:rPr>
          <w:rFonts w:asciiTheme="majorBidi" w:hAnsiTheme="majorBidi" w:cstheme="majorBidi"/>
          <w:sz w:val="24"/>
          <w:szCs w:val="24"/>
          <w:lang w:val="en-US"/>
        </w:rPr>
        <w:t xml:space="preserve">: IAI will not disclose Personal Data about Suppliers to third parties, except in the following cases: to third parties that provide services to IAI, including systems or platforms that assist IAI in managing </w:t>
      </w:r>
      <w:r w:rsidR="00D83E15">
        <w:rPr>
          <w:rFonts w:asciiTheme="majorBidi" w:hAnsiTheme="majorBidi" w:cstheme="majorBidi"/>
          <w:sz w:val="24"/>
          <w:szCs w:val="24"/>
          <w:lang w:val="en-US"/>
        </w:rPr>
        <w:t xml:space="preserve">or implementing </w:t>
      </w:r>
      <w:r w:rsidRPr="000D77AA">
        <w:rPr>
          <w:rFonts w:asciiTheme="majorBidi" w:hAnsiTheme="majorBidi" w:cstheme="majorBidi"/>
          <w:sz w:val="24"/>
          <w:szCs w:val="24"/>
          <w:lang w:val="en-US"/>
        </w:rPr>
        <w:t>its engagement with Suppliers, including the operation of the Supplier Portal; where IAI believes such disclosure is required to comply with legal obligations, conduct legal proceedings, protect its rights or property, protect the rights or property of the Supplier or another third party, safeguard public safety, or prevent or cease illegal, unethical, or potentially actionable activity; and in the event of a corporate change, such as a merger, acquisition, or reorganization, in which all or part of IAI's assets, including Personal Data about Suppliers, are transferred.</w:t>
      </w:r>
    </w:p>
    <w:p w14:paraId="76581156" w14:textId="77777777"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Security and Cross-Border Data Transfers</w:t>
      </w:r>
      <w:r w:rsidRPr="000D77AA">
        <w:rPr>
          <w:rFonts w:asciiTheme="majorBidi" w:hAnsiTheme="majorBidi" w:cstheme="majorBidi"/>
          <w:sz w:val="24"/>
          <w:szCs w:val="24"/>
          <w:lang w:val="en-US"/>
        </w:rPr>
        <w:t>: IAI will retain Personal Data relating to Suppliers using reasonable and customary security measures, in accordance with its discretion, internal procedures, and applicable law. In addition, Personal Data relating to Suppliers may be transferred to, stored, or otherwise processed in countries outside the country in which it was originally collected. In such cases, IAI will take appropriate measures, in accordance with applicable law, to ensure that such Personal Data receives an adequate level of protection.</w:t>
      </w:r>
    </w:p>
    <w:p w14:paraId="2B9E1970" w14:textId="77777777"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Rights Under Applicable Data Protection Laws</w:t>
      </w:r>
      <w:r w:rsidRPr="000D77AA">
        <w:rPr>
          <w:rFonts w:asciiTheme="majorBidi" w:hAnsiTheme="majorBidi" w:cstheme="majorBidi"/>
          <w:sz w:val="24"/>
          <w:szCs w:val="24"/>
          <w:lang w:val="en-US"/>
        </w:rPr>
        <w:t>: Depending on the applicable data protection law, a Supplier or anyone on its behalf may have certain rights in relation to its Personal Data. The principal rights include:</w:t>
      </w:r>
    </w:p>
    <w:p w14:paraId="6B42A7A4" w14:textId="2F03138F" w:rsidR="000D77AA" w:rsidRPr="000D77AA" w:rsidRDefault="00A74ED6" w:rsidP="000D77AA">
      <w:pPr>
        <w:numPr>
          <w:ilvl w:val="0"/>
          <w:numId w:val="4"/>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sz w:val="24"/>
          <w:szCs w:val="24"/>
          <w:u w:val="single"/>
          <w:lang w:val="en-US"/>
        </w:rPr>
        <w:t>Where the GDPR applies</w:t>
      </w:r>
      <w:r>
        <w:rPr>
          <w:rFonts w:asciiTheme="majorBidi" w:hAnsiTheme="majorBidi" w:cstheme="majorBidi"/>
          <w:sz w:val="24"/>
          <w:szCs w:val="24"/>
          <w:lang w:val="en-US"/>
        </w:rPr>
        <w:t>:</w:t>
      </w:r>
      <w:r w:rsidRPr="000D77AA">
        <w:rPr>
          <w:rFonts w:asciiTheme="majorBidi" w:hAnsiTheme="majorBidi" w:cstheme="majorBidi"/>
          <w:sz w:val="24"/>
          <w:szCs w:val="24"/>
          <w:lang w:val="en-US"/>
        </w:rPr>
        <w:t xml:space="preserve"> such rights may include the right to ask us to correct inaccuracies in or update the Personal Data we hold about you, or to request deletion of inaccurate Personal Data; to request that your Personal Data be erased when it is no longer needed or if its processing is unlawful; to withdraw the </w:t>
      </w:r>
      <w:r w:rsidRPr="000D77AA">
        <w:rPr>
          <w:rFonts w:asciiTheme="majorBidi" w:hAnsiTheme="majorBidi" w:cstheme="majorBidi"/>
          <w:sz w:val="24"/>
          <w:szCs w:val="24"/>
          <w:lang w:val="en-US"/>
        </w:rPr>
        <w:lastRenderedPageBreak/>
        <w:t xml:space="preserve">consent you provided for our processing of your Personal Data for a certain purpose, at any time; to object to any use of your Personal Data based on our legitimate interests where your fundamental rights and freedoms outweigh those interests; to ask us to restrict or limit the purpose for which we process your Personal Data, where certain conditions are satisfied; to request a copy of your Personal Data in a portable format and, to the extent technically feasible, in a readily usable format that allows you to transmit it to another entity; to request that decisions based on your Personal Data that significantly affect you be made by natural persons, and not solely by computers; and, if you believe that our processing of your Personal Data violates applicable law, lodge a complaint with the applicable supervisory authority. </w:t>
      </w:r>
    </w:p>
    <w:p w14:paraId="77262321" w14:textId="3DF82525" w:rsidR="000D77AA" w:rsidRPr="000D77AA" w:rsidRDefault="00A74ED6" w:rsidP="000D77AA">
      <w:pPr>
        <w:numPr>
          <w:ilvl w:val="0"/>
          <w:numId w:val="4"/>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sz w:val="24"/>
          <w:szCs w:val="24"/>
          <w:u w:val="single"/>
          <w:lang w:val="en-US"/>
        </w:rPr>
        <w:t xml:space="preserve">Where the IPPL </w:t>
      </w:r>
      <w:r w:rsidR="002B5EA8" w:rsidRPr="000D77AA">
        <w:rPr>
          <w:rFonts w:asciiTheme="majorBidi" w:hAnsiTheme="majorBidi" w:cstheme="majorBidi"/>
          <w:sz w:val="24"/>
          <w:szCs w:val="24"/>
          <w:u w:val="single"/>
          <w:lang w:val="en-US"/>
        </w:rPr>
        <w:t>applies</w:t>
      </w:r>
      <w:r w:rsidR="002B5EA8">
        <w:rPr>
          <w:rFonts w:asciiTheme="majorBidi" w:hAnsiTheme="majorBidi" w:cstheme="majorBidi"/>
          <w:sz w:val="24"/>
          <w:szCs w:val="24"/>
          <w:lang w:val="en-US"/>
        </w:rPr>
        <w:t>:</w:t>
      </w:r>
      <w:r w:rsidRPr="000D77AA">
        <w:rPr>
          <w:rFonts w:asciiTheme="majorBidi" w:hAnsiTheme="majorBidi" w:cstheme="majorBidi"/>
          <w:sz w:val="24"/>
          <w:szCs w:val="24"/>
          <w:lang w:val="en-US"/>
        </w:rPr>
        <w:t xml:space="preserve"> you </w:t>
      </w:r>
      <w:r w:rsidR="001E1388">
        <w:rPr>
          <w:rFonts w:asciiTheme="majorBidi" w:hAnsiTheme="majorBidi" w:cstheme="majorBidi"/>
          <w:sz w:val="24"/>
          <w:szCs w:val="24"/>
          <w:lang w:val="en-US"/>
        </w:rPr>
        <w:t xml:space="preserve">will </w:t>
      </w:r>
      <w:r w:rsidRPr="000D77AA">
        <w:rPr>
          <w:rFonts w:asciiTheme="majorBidi" w:hAnsiTheme="majorBidi" w:cstheme="majorBidi"/>
          <w:sz w:val="24"/>
          <w:szCs w:val="24"/>
          <w:lang w:val="en-US"/>
        </w:rPr>
        <w:t>have the right to request, in writing, to review Personal Data about you kept in our database</w:t>
      </w:r>
      <w:r w:rsidR="001E1388">
        <w:rPr>
          <w:rFonts w:asciiTheme="majorBidi" w:hAnsiTheme="majorBidi" w:cstheme="majorBidi"/>
          <w:sz w:val="24"/>
          <w:szCs w:val="24"/>
          <w:lang w:val="en-US"/>
        </w:rPr>
        <w:t>, subject to certain exceptions under applicable law</w:t>
      </w:r>
      <w:r w:rsidRPr="000D77AA">
        <w:rPr>
          <w:rFonts w:asciiTheme="majorBidi" w:hAnsiTheme="majorBidi" w:cstheme="majorBidi"/>
          <w:sz w:val="24"/>
          <w:szCs w:val="24"/>
          <w:lang w:val="en-US"/>
        </w:rPr>
        <w:t xml:space="preserve">. You </w:t>
      </w:r>
      <w:r w:rsidR="001E1388">
        <w:rPr>
          <w:rFonts w:asciiTheme="majorBidi" w:hAnsiTheme="majorBidi" w:cstheme="majorBidi"/>
          <w:sz w:val="24"/>
          <w:szCs w:val="24"/>
          <w:lang w:val="en-US"/>
        </w:rPr>
        <w:t xml:space="preserve">will </w:t>
      </w:r>
      <w:r w:rsidRPr="000D77AA">
        <w:rPr>
          <w:rFonts w:asciiTheme="majorBidi" w:hAnsiTheme="majorBidi" w:cstheme="majorBidi"/>
          <w:sz w:val="24"/>
          <w:szCs w:val="24"/>
          <w:lang w:val="en-US"/>
        </w:rPr>
        <w:t>also have the right to request the correction and/or deletion of your Personal Data if you find that such Personal Data is incorrect and/or out of date</w:t>
      </w:r>
      <w:r w:rsidR="00647538">
        <w:rPr>
          <w:rFonts w:asciiTheme="majorBidi" w:hAnsiTheme="majorBidi" w:cstheme="majorBidi"/>
          <w:sz w:val="24"/>
          <w:szCs w:val="24"/>
          <w:lang w:val="en-US"/>
        </w:rPr>
        <w:t xml:space="preserve">, subject to certain exceptions under applicable law. </w:t>
      </w:r>
      <w:r w:rsidR="001E1388">
        <w:rPr>
          <w:rFonts w:asciiTheme="majorBidi" w:hAnsiTheme="majorBidi" w:cstheme="majorBidi"/>
          <w:sz w:val="24"/>
          <w:szCs w:val="24"/>
          <w:lang w:val="en-US"/>
        </w:rPr>
        <w:t xml:space="preserve"> </w:t>
      </w:r>
      <w:r w:rsidRPr="000D77AA">
        <w:rPr>
          <w:rFonts w:asciiTheme="majorBidi" w:hAnsiTheme="majorBidi" w:cstheme="majorBidi"/>
          <w:sz w:val="24"/>
          <w:szCs w:val="24"/>
          <w:lang w:val="en-US"/>
        </w:rPr>
        <w:t xml:space="preserve"> </w:t>
      </w:r>
    </w:p>
    <w:p w14:paraId="0D1EA034" w14:textId="77777777" w:rsidR="000D77AA" w:rsidRPr="000D77AA" w:rsidRDefault="00A74ED6" w:rsidP="000D77AA">
      <w:pPr>
        <w:spacing w:before="120" w:after="60" w:line="276" w:lineRule="auto"/>
        <w:ind w:left="578"/>
        <w:contextualSpacing/>
        <w:jc w:val="both"/>
        <w:rPr>
          <w:rFonts w:asciiTheme="majorBidi" w:hAnsiTheme="majorBidi" w:cstheme="majorBidi"/>
          <w:sz w:val="24"/>
          <w:szCs w:val="24"/>
          <w:lang w:val="en-US"/>
        </w:rPr>
      </w:pPr>
      <w:r w:rsidRPr="000D77AA">
        <w:rPr>
          <w:rFonts w:asciiTheme="majorBidi" w:hAnsiTheme="majorBidi" w:cstheme="majorBidi"/>
          <w:sz w:val="24"/>
          <w:szCs w:val="24"/>
          <w:lang w:val="en-US"/>
        </w:rPr>
        <w:t xml:space="preserve">To exercise any of these rights, please contact us using the details in Section </w:t>
      </w:r>
      <w:r w:rsidRPr="000D77AA">
        <w:rPr>
          <w:rFonts w:asciiTheme="majorBidi" w:hAnsiTheme="majorBidi" w:cstheme="majorBidi"/>
          <w:sz w:val="24"/>
          <w:szCs w:val="24"/>
          <w:rtl/>
          <w:lang w:val="en-US"/>
        </w:rPr>
        <w:t>8</w:t>
      </w:r>
      <w:r w:rsidRPr="000D77AA">
        <w:rPr>
          <w:rFonts w:asciiTheme="majorBidi" w:hAnsiTheme="majorBidi" w:cstheme="majorBidi"/>
          <w:sz w:val="24"/>
          <w:szCs w:val="24"/>
          <w:lang w:val="en-US"/>
        </w:rPr>
        <w:t xml:space="preserve"> below. We may need to verify your identity before responding to your request.</w:t>
      </w:r>
    </w:p>
    <w:p w14:paraId="6AF49E10" w14:textId="2E38A03A" w:rsidR="000D77AA" w:rsidRPr="000D77AA" w:rsidRDefault="00A74ED6" w:rsidP="00F428A9">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Contact Information and Data Controller Details</w:t>
      </w:r>
      <w:r w:rsidRPr="000D77AA">
        <w:rPr>
          <w:rFonts w:asciiTheme="majorBidi" w:hAnsiTheme="majorBidi" w:cstheme="majorBidi"/>
          <w:sz w:val="24"/>
          <w:szCs w:val="24"/>
          <w:lang w:val="en-US"/>
        </w:rPr>
        <w:t>: IAI is the “controller” (as such term is defined under the GDPR or any equivalent term under applicable privacy and data protection laws) of the Personal Data of Suppliers processed under this Privacy Notice. For any questions related to this Privacy Notice and/or IAI's processing of Personal Data of Suppliers, you may contact the Data Protection Officer through IAI’s website, available here</w:t>
      </w:r>
      <w:r w:rsidR="00F428A9">
        <w:rPr>
          <w:rFonts w:asciiTheme="majorBidi" w:hAnsiTheme="majorBidi" w:cstheme="majorBidi"/>
          <w:sz w:val="24"/>
          <w:szCs w:val="24"/>
          <w:lang w:val="en-US"/>
        </w:rPr>
        <w:t xml:space="preserve"> </w:t>
      </w:r>
      <w:hyperlink r:id="rId11" w:history="1">
        <w:r w:rsidR="00F428A9" w:rsidRPr="00F428A9">
          <w:rPr>
            <w:rStyle w:val="Hyperlink"/>
            <w:rFonts w:asciiTheme="majorBidi" w:hAnsiTheme="majorBidi" w:cstheme="majorBidi"/>
            <w:sz w:val="24"/>
            <w:szCs w:val="24"/>
          </w:rPr>
          <w:t>Public and Employees Requests and Complaints - IAI</w:t>
        </w:r>
      </w:hyperlink>
      <w:r w:rsidR="00F428A9">
        <w:rPr>
          <w:rFonts w:asciiTheme="majorBidi" w:hAnsiTheme="majorBidi" w:cstheme="majorBidi"/>
          <w:sz w:val="24"/>
          <w:szCs w:val="24"/>
          <w:lang w:val="en-US"/>
        </w:rPr>
        <w:t xml:space="preserve">. </w:t>
      </w:r>
    </w:p>
    <w:p w14:paraId="4560CE56" w14:textId="77777777"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Changes to this Privacy Notice</w:t>
      </w:r>
      <w:r w:rsidRPr="000D77AA">
        <w:rPr>
          <w:rFonts w:asciiTheme="majorBidi" w:hAnsiTheme="majorBidi" w:cstheme="majorBidi"/>
          <w:sz w:val="24"/>
          <w:szCs w:val="24"/>
          <w:lang w:val="en-US"/>
        </w:rPr>
        <w:t>: IAI reserves the right to update this Privacy Notice from time to time at its sole discretion, and such updates shall become effective upon publication in the Supplier Portal, together with the updated "Last Updated" date. Accordingly, you are advised to review this Privacy Notice periodically. In the event of a material change affecting Suppliers' rights, or where required by law, we will take reasonable measures to notify Suppliers of such change through the Supplier Portal and/or by other means.</w:t>
      </w:r>
    </w:p>
    <w:p w14:paraId="2DD8A344" w14:textId="258B7AAA" w:rsidR="000D77AA" w:rsidRPr="000D77AA" w:rsidRDefault="00A74ED6" w:rsidP="000D77AA">
      <w:pPr>
        <w:numPr>
          <w:ilvl w:val="0"/>
          <w:numId w:val="1"/>
        </w:numPr>
        <w:spacing w:before="120" w:after="60" w:line="276" w:lineRule="auto"/>
        <w:jc w:val="both"/>
        <w:rPr>
          <w:rFonts w:asciiTheme="majorBidi" w:hAnsiTheme="majorBidi" w:cstheme="majorBidi"/>
          <w:sz w:val="24"/>
          <w:szCs w:val="24"/>
          <w:lang w:val="en-US"/>
        </w:rPr>
      </w:pPr>
      <w:r w:rsidRPr="000D77AA">
        <w:rPr>
          <w:rFonts w:asciiTheme="majorBidi" w:hAnsiTheme="majorBidi" w:cstheme="majorBidi"/>
          <w:b/>
          <w:bCs/>
          <w:sz w:val="24"/>
          <w:szCs w:val="24"/>
          <w:lang w:val="en-US"/>
        </w:rPr>
        <w:t>Children</w:t>
      </w:r>
      <w:r w:rsidR="000B3A25">
        <w:rPr>
          <w:rFonts w:asciiTheme="majorBidi" w:hAnsiTheme="majorBidi" w:cstheme="majorBidi"/>
          <w:b/>
          <w:bCs/>
          <w:sz w:val="24"/>
          <w:szCs w:val="24"/>
          <w:lang w:val="en-US"/>
        </w:rPr>
        <w:t xml:space="preserve"> under 18</w:t>
      </w:r>
      <w:r w:rsidRPr="000D77AA">
        <w:rPr>
          <w:rFonts w:asciiTheme="majorBidi" w:hAnsiTheme="majorBidi" w:cstheme="majorBidi"/>
          <w:sz w:val="24"/>
          <w:szCs w:val="24"/>
          <w:lang w:val="en-US"/>
        </w:rPr>
        <w:t>: The Supplier Portal is not intended for use by children</w:t>
      </w:r>
      <w:r w:rsidR="000B3A25">
        <w:rPr>
          <w:rFonts w:asciiTheme="majorBidi" w:hAnsiTheme="majorBidi" w:cstheme="majorBidi"/>
          <w:sz w:val="24"/>
          <w:szCs w:val="24"/>
          <w:lang w:val="en-US"/>
        </w:rPr>
        <w:t xml:space="preserve"> under the age of 18</w:t>
      </w:r>
      <w:r w:rsidRPr="000D77AA">
        <w:rPr>
          <w:rFonts w:asciiTheme="majorBidi" w:hAnsiTheme="majorBidi" w:cstheme="majorBidi"/>
          <w:sz w:val="24"/>
          <w:szCs w:val="24"/>
          <w:lang w:val="en-US"/>
        </w:rPr>
        <w:t xml:space="preserve">, and IAI does not knowingly collect Personal Data related to children. If you believe that a child has provided us with Personal Data through the Supplier Portal, please contact us through the </w:t>
      </w:r>
      <w:hyperlink r:id="rId12" w:history="1">
        <w:r w:rsidR="00CA0C9C" w:rsidRPr="00F428A9">
          <w:rPr>
            <w:rStyle w:val="Hyperlink"/>
            <w:rFonts w:asciiTheme="majorBidi" w:hAnsiTheme="majorBidi" w:cstheme="majorBidi"/>
            <w:sz w:val="24"/>
            <w:szCs w:val="24"/>
          </w:rPr>
          <w:t>Public and Employees Requests and Complaints - IAI</w:t>
        </w:r>
      </w:hyperlink>
      <w:r w:rsidR="00CA0C9C">
        <w:rPr>
          <w:rFonts w:asciiTheme="majorBidi" w:hAnsiTheme="majorBidi" w:cstheme="majorBidi"/>
          <w:sz w:val="24"/>
          <w:szCs w:val="24"/>
          <w:lang w:val="en-US"/>
        </w:rPr>
        <w:t xml:space="preserve">. </w:t>
      </w:r>
    </w:p>
    <w:p w14:paraId="7CD858F6" w14:textId="77777777" w:rsidR="00DF6C20" w:rsidRPr="000D77AA" w:rsidRDefault="00DF6C20" w:rsidP="000D77AA">
      <w:pPr>
        <w:jc w:val="both"/>
        <w:rPr>
          <w:lang w:val="en-US"/>
        </w:rPr>
      </w:pPr>
    </w:p>
    <w:sectPr w:rsidR="00DF6C20" w:rsidRPr="000D77AA" w:rsidSect="000D77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1AA3"/>
    <w:multiLevelType w:val="hybridMultilevel"/>
    <w:tmpl w:val="D8FE3142"/>
    <w:lvl w:ilvl="0" w:tplc="2AAEC79C">
      <w:start w:val="1"/>
      <w:numFmt w:val="lowerLetter"/>
      <w:lvlText w:val="(%1)"/>
      <w:lvlJc w:val="left"/>
      <w:pPr>
        <w:ind w:left="578" w:hanging="360"/>
      </w:pPr>
      <w:rPr>
        <w:rFonts w:hint="default"/>
      </w:rPr>
    </w:lvl>
    <w:lvl w:ilvl="1" w:tplc="64962638" w:tentative="1">
      <w:start w:val="1"/>
      <w:numFmt w:val="lowerLetter"/>
      <w:lvlText w:val="%2."/>
      <w:lvlJc w:val="left"/>
      <w:pPr>
        <w:ind w:left="1298" w:hanging="360"/>
      </w:pPr>
    </w:lvl>
    <w:lvl w:ilvl="2" w:tplc="885817D2" w:tentative="1">
      <w:start w:val="1"/>
      <w:numFmt w:val="lowerRoman"/>
      <w:lvlText w:val="%3."/>
      <w:lvlJc w:val="right"/>
      <w:pPr>
        <w:ind w:left="2018" w:hanging="180"/>
      </w:pPr>
    </w:lvl>
    <w:lvl w:ilvl="3" w:tplc="5D003F40" w:tentative="1">
      <w:start w:val="1"/>
      <w:numFmt w:val="decimal"/>
      <w:lvlText w:val="%4."/>
      <w:lvlJc w:val="left"/>
      <w:pPr>
        <w:ind w:left="2738" w:hanging="360"/>
      </w:pPr>
    </w:lvl>
    <w:lvl w:ilvl="4" w:tplc="E5800A2E" w:tentative="1">
      <w:start w:val="1"/>
      <w:numFmt w:val="lowerLetter"/>
      <w:lvlText w:val="%5."/>
      <w:lvlJc w:val="left"/>
      <w:pPr>
        <w:ind w:left="3458" w:hanging="360"/>
      </w:pPr>
    </w:lvl>
    <w:lvl w:ilvl="5" w:tplc="03541B36" w:tentative="1">
      <w:start w:val="1"/>
      <w:numFmt w:val="lowerRoman"/>
      <w:lvlText w:val="%6."/>
      <w:lvlJc w:val="right"/>
      <w:pPr>
        <w:ind w:left="4178" w:hanging="180"/>
      </w:pPr>
    </w:lvl>
    <w:lvl w:ilvl="6" w:tplc="6B9EFE5A" w:tentative="1">
      <w:start w:val="1"/>
      <w:numFmt w:val="decimal"/>
      <w:lvlText w:val="%7."/>
      <w:lvlJc w:val="left"/>
      <w:pPr>
        <w:ind w:left="4898" w:hanging="360"/>
      </w:pPr>
    </w:lvl>
    <w:lvl w:ilvl="7" w:tplc="81506B96" w:tentative="1">
      <w:start w:val="1"/>
      <w:numFmt w:val="lowerLetter"/>
      <w:lvlText w:val="%8."/>
      <w:lvlJc w:val="left"/>
      <w:pPr>
        <w:ind w:left="5618" w:hanging="360"/>
      </w:pPr>
    </w:lvl>
    <w:lvl w:ilvl="8" w:tplc="C0AAB5CC" w:tentative="1">
      <w:start w:val="1"/>
      <w:numFmt w:val="lowerRoman"/>
      <w:lvlText w:val="%9."/>
      <w:lvlJc w:val="right"/>
      <w:pPr>
        <w:ind w:left="6338" w:hanging="180"/>
      </w:pPr>
    </w:lvl>
  </w:abstractNum>
  <w:abstractNum w:abstractNumId="1" w15:restartNumberingAfterBreak="0">
    <w:nsid w:val="2E92605C"/>
    <w:multiLevelType w:val="hybridMultilevel"/>
    <w:tmpl w:val="EA8A6A2C"/>
    <w:lvl w:ilvl="0" w:tplc="A0C05B3C">
      <w:start w:val="1"/>
      <w:numFmt w:val="lowerLetter"/>
      <w:lvlText w:val="(%1)"/>
      <w:lvlJc w:val="left"/>
      <w:pPr>
        <w:ind w:left="578" w:hanging="360"/>
      </w:pPr>
      <w:rPr>
        <w:rFonts w:hint="default"/>
        <w:b w:val="0"/>
        <w:bCs/>
      </w:rPr>
    </w:lvl>
    <w:lvl w:ilvl="1" w:tplc="7C845BE2" w:tentative="1">
      <w:start w:val="1"/>
      <w:numFmt w:val="lowerLetter"/>
      <w:lvlText w:val="%2."/>
      <w:lvlJc w:val="left"/>
      <w:pPr>
        <w:ind w:left="1298" w:hanging="360"/>
      </w:pPr>
    </w:lvl>
    <w:lvl w:ilvl="2" w:tplc="6AAC9F94" w:tentative="1">
      <w:start w:val="1"/>
      <w:numFmt w:val="lowerRoman"/>
      <w:lvlText w:val="%3."/>
      <w:lvlJc w:val="right"/>
      <w:pPr>
        <w:ind w:left="2018" w:hanging="180"/>
      </w:pPr>
    </w:lvl>
    <w:lvl w:ilvl="3" w:tplc="A0E0469A" w:tentative="1">
      <w:start w:val="1"/>
      <w:numFmt w:val="decimal"/>
      <w:lvlText w:val="%4."/>
      <w:lvlJc w:val="left"/>
      <w:pPr>
        <w:ind w:left="2738" w:hanging="360"/>
      </w:pPr>
    </w:lvl>
    <w:lvl w:ilvl="4" w:tplc="DCCC0614" w:tentative="1">
      <w:start w:val="1"/>
      <w:numFmt w:val="lowerLetter"/>
      <w:lvlText w:val="%5."/>
      <w:lvlJc w:val="left"/>
      <w:pPr>
        <w:ind w:left="3458" w:hanging="360"/>
      </w:pPr>
    </w:lvl>
    <w:lvl w:ilvl="5" w:tplc="7B783650" w:tentative="1">
      <w:start w:val="1"/>
      <w:numFmt w:val="lowerRoman"/>
      <w:lvlText w:val="%6."/>
      <w:lvlJc w:val="right"/>
      <w:pPr>
        <w:ind w:left="4178" w:hanging="180"/>
      </w:pPr>
    </w:lvl>
    <w:lvl w:ilvl="6" w:tplc="E3ACBEA8" w:tentative="1">
      <w:start w:val="1"/>
      <w:numFmt w:val="decimal"/>
      <w:lvlText w:val="%7."/>
      <w:lvlJc w:val="left"/>
      <w:pPr>
        <w:ind w:left="4898" w:hanging="360"/>
      </w:pPr>
    </w:lvl>
    <w:lvl w:ilvl="7" w:tplc="E8F22D54" w:tentative="1">
      <w:start w:val="1"/>
      <w:numFmt w:val="lowerLetter"/>
      <w:lvlText w:val="%8."/>
      <w:lvlJc w:val="left"/>
      <w:pPr>
        <w:ind w:left="5618" w:hanging="360"/>
      </w:pPr>
    </w:lvl>
    <w:lvl w:ilvl="8" w:tplc="7F044F00" w:tentative="1">
      <w:start w:val="1"/>
      <w:numFmt w:val="lowerRoman"/>
      <w:lvlText w:val="%9."/>
      <w:lvlJc w:val="right"/>
      <w:pPr>
        <w:ind w:left="6338" w:hanging="180"/>
      </w:pPr>
    </w:lvl>
  </w:abstractNum>
  <w:abstractNum w:abstractNumId="2" w15:restartNumberingAfterBreak="0">
    <w:nsid w:val="37602F5B"/>
    <w:multiLevelType w:val="hybridMultilevel"/>
    <w:tmpl w:val="42308C3A"/>
    <w:lvl w:ilvl="0" w:tplc="AB64BADC">
      <w:start w:val="1"/>
      <w:numFmt w:val="decimal"/>
      <w:lvlText w:val="%1."/>
      <w:lvlJc w:val="left"/>
      <w:pPr>
        <w:ind w:left="218" w:hanging="360"/>
      </w:pPr>
      <w:rPr>
        <w:rFonts w:hint="default"/>
      </w:rPr>
    </w:lvl>
    <w:lvl w:ilvl="1" w:tplc="FFCA914A" w:tentative="1">
      <w:start w:val="1"/>
      <w:numFmt w:val="lowerLetter"/>
      <w:lvlText w:val="%2."/>
      <w:lvlJc w:val="left"/>
      <w:pPr>
        <w:ind w:left="938" w:hanging="360"/>
      </w:pPr>
    </w:lvl>
    <w:lvl w:ilvl="2" w:tplc="568A4146" w:tentative="1">
      <w:start w:val="1"/>
      <w:numFmt w:val="lowerRoman"/>
      <w:lvlText w:val="%3."/>
      <w:lvlJc w:val="right"/>
      <w:pPr>
        <w:ind w:left="1658" w:hanging="180"/>
      </w:pPr>
    </w:lvl>
    <w:lvl w:ilvl="3" w:tplc="7A92D584" w:tentative="1">
      <w:start w:val="1"/>
      <w:numFmt w:val="decimal"/>
      <w:lvlText w:val="%4."/>
      <w:lvlJc w:val="left"/>
      <w:pPr>
        <w:ind w:left="2378" w:hanging="360"/>
      </w:pPr>
    </w:lvl>
    <w:lvl w:ilvl="4" w:tplc="9FCE2682" w:tentative="1">
      <w:start w:val="1"/>
      <w:numFmt w:val="lowerLetter"/>
      <w:lvlText w:val="%5."/>
      <w:lvlJc w:val="left"/>
      <w:pPr>
        <w:ind w:left="3098" w:hanging="360"/>
      </w:pPr>
    </w:lvl>
    <w:lvl w:ilvl="5" w:tplc="BC664076" w:tentative="1">
      <w:start w:val="1"/>
      <w:numFmt w:val="lowerRoman"/>
      <w:lvlText w:val="%6."/>
      <w:lvlJc w:val="right"/>
      <w:pPr>
        <w:ind w:left="3818" w:hanging="180"/>
      </w:pPr>
    </w:lvl>
    <w:lvl w:ilvl="6" w:tplc="546C3DC6" w:tentative="1">
      <w:start w:val="1"/>
      <w:numFmt w:val="decimal"/>
      <w:lvlText w:val="%7."/>
      <w:lvlJc w:val="left"/>
      <w:pPr>
        <w:ind w:left="4538" w:hanging="360"/>
      </w:pPr>
    </w:lvl>
    <w:lvl w:ilvl="7" w:tplc="32C28894" w:tentative="1">
      <w:start w:val="1"/>
      <w:numFmt w:val="lowerLetter"/>
      <w:lvlText w:val="%8."/>
      <w:lvlJc w:val="left"/>
      <w:pPr>
        <w:ind w:left="5258" w:hanging="360"/>
      </w:pPr>
    </w:lvl>
    <w:lvl w:ilvl="8" w:tplc="002AC70E" w:tentative="1">
      <w:start w:val="1"/>
      <w:numFmt w:val="lowerRoman"/>
      <w:lvlText w:val="%9."/>
      <w:lvlJc w:val="right"/>
      <w:pPr>
        <w:ind w:left="5978" w:hanging="180"/>
      </w:pPr>
    </w:lvl>
  </w:abstractNum>
  <w:abstractNum w:abstractNumId="3" w15:restartNumberingAfterBreak="0">
    <w:nsid w:val="75D11467"/>
    <w:multiLevelType w:val="hybridMultilevel"/>
    <w:tmpl w:val="7CCC1524"/>
    <w:lvl w:ilvl="0" w:tplc="696CD8F4">
      <w:start w:val="1"/>
      <w:numFmt w:val="lowerLetter"/>
      <w:lvlText w:val="(%1)"/>
      <w:lvlJc w:val="left"/>
      <w:pPr>
        <w:ind w:left="578" w:hanging="360"/>
      </w:pPr>
      <w:rPr>
        <w:rFonts w:hint="default"/>
        <w:b w:val="0"/>
        <w:bCs/>
      </w:rPr>
    </w:lvl>
    <w:lvl w:ilvl="1" w:tplc="B75CC40E" w:tentative="1">
      <w:start w:val="1"/>
      <w:numFmt w:val="lowerLetter"/>
      <w:lvlText w:val="%2."/>
      <w:lvlJc w:val="left"/>
      <w:pPr>
        <w:ind w:left="1298" w:hanging="360"/>
      </w:pPr>
    </w:lvl>
    <w:lvl w:ilvl="2" w:tplc="04FEC3F4" w:tentative="1">
      <w:start w:val="1"/>
      <w:numFmt w:val="lowerRoman"/>
      <w:lvlText w:val="%3."/>
      <w:lvlJc w:val="right"/>
      <w:pPr>
        <w:ind w:left="2018" w:hanging="180"/>
      </w:pPr>
    </w:lvl>
    <w:lvl w:ilvl="3" w:tplc="F2E627A4" w:tentative="1">
      <w:start w:val="1"/>
      <w:numFmt w:val="decimal"/>
      <w:lvlText w:val="%4."/>
      <w:lvlJc w:val="left"/>
      <w:pPr>
        <w:ind w:left="2738" w:hanging="360"/>
      </w:pPr>
    </w:lvl>
    <w:lvl w:ilvl="4" w:tplc="409CF844" w:tentative="1">
      <w:start w:val="1"/>
      <w:numFmt w:val="lowerLetter"/>
      <w:lvlText w:val="%5."/>
      <w:lvlJc w:val="left"/>
      <w:pPr>
        <w:ind w:left="3458" w:hanging="360"/>
      </w:pPr>
    </w:lvl>
    <w:lvl w:ilvl="5" w:tplc="EB0A5E76" w:tentative="1">
      <w:start w:val="1"/>
      <w:numFmt w:val="lowerRoman"/>
      <w:lvlText w:val="%6."/>
      <w:lvlJc w:val="right"/>
      <w:pPr>
        <w:ind w:left="4178" w:hanging="180"/>
      </w:pPr>
    </w:lvl>
    <w:lvl w:ilvl="6" w:tplc="6C0C8838" w:tentative="1">
      <w:start w:val="1"/>
      <w:numFmt w:val="decimal"/>
      <w:lvlText w:val="%7."/>
      <w:lvlJc w:val="left"/>
      <w:pPr>
        <w:ind w:left="4898" w:hanging="360"/>
      </w:pPr>
    </w:lvl>
    <w:lvl w:ilvl="7" w:tplc="4E1271A4" w:tentative="1">
      <w:start w:val="1"/>
      <w:numFmt w:val="lowerLetter"/>
      <w:lvlText w:val="%8."/>
      <w:lvlJc w:val="left"/>
      <w:pPr>
        <w:ind w:left="5618" w:hanging="360"/>
      </w:pPr>
    </w:lvl>
    <w:lvl w:ilvl="8" w:tplc="166C8A30" w:tentative="1">
      <w:start w:val="1"/>
      <w:numFmt w:val="lowerRoman"/>
      <w:lvlText w:val="%9."/>
      <w:lvlJc w:val="right"/>
      <w:pPr>
        <w:ind w:left="6338" w:hanging="180"/>
      </w:pPr>
    </w:lvl>
  </w:abstractNum>
  <w:num w:numId="1" w16cid:durableId="1302005466">
    <w:abstractNumId w:val="2"/>
  </w:num>
  <w:num w:numId="2" w16cid:durableId="441806760">
    <w:abstractNumId w:val="0"/>
  </w:num>
  <w:num w:numId="3" w16cid:durableId="268390284">
    <w:abstractNumId w:val="1"/>
  </w:num>
  <w:num w:numId="4" w16cid:durableId="2009863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7AA"/>
    <w:rsid w:val="0003106C"/>
    <w:rsid w:val="00045BEE"/>
    <w:rsid w:val="000658B9"/>
    <w:rsid w:val="000A3DC8"/>
    <w:rsid w:val="000B0014"/>
    <w:rsid w:val="000B3A25"/>
    <w:rsid w:val="000C49FA"/>
    <w:rsid w:val="000D77AA"/>
    <w:rsid w:val="00122336"/>
    <w:rsid w:val="001B7D3B"/>
    <w:rsid w:val="001E1388"/>
    <w:rsid w:val="00261EC0"/>
    <w:rsid w:val="002B5EA8"/>
    <w:rsid w:val="00321411"/>
    <w:rsid w:val="0033315F"/>
    <w:rsid w:val="00365A16"/>
    <w:rsid w:val="004065FC"/>
    <w:rsid w:val="00480574"/>
    <w:rsid w:val="004E643A"/>
    <w:rsid w:val="00500944"/>
    <w:rsid w:val="005656A8"/>
    <w:rsid w:val="005B24BB"/>
    <w:rsid w:val="00647538"/>
    <w:rsid w:val="0065545F"/>
    <w:rsid w:val="006C2705"/>
    <w:rsid w:val="00786150"/>
    <w:rsid w:val="007918F4"/>
    <w:rsid w:val="008162EC"/>
    <w:rsid w:val="008424E4"/>
    <w:rsid w:val="00901A46"/>
    <w:rsid w:val="009304CB"/>
    <w:rsid w:val="00932CB0"/>
    <w:rsid w:val="00A246CF"/>
    <w:rsid w:val="00A74ED6"/>
    <w:rsid w:val="00AB2B89"/>
    <w:rsid w:val="00B277A6"/>
    <w:rsid w:val="00B33FE9"/>
    <w:rsid w:val="00B6288E"/>
    <w:rsid w:val="00BB55C2"/>
    <w:rsid w:val="00BB6DFD"/>
    <w:rsid w:val="00BE35A2"/>
    <w:rsid w:val="00C10A49"/>
    <w:rsid w:val="00CA0C9C"/>
    <w:rsid w:val="00D045E2"/>
    <w:rsid w:val="00D21D51"/>
    <w:rsid w:val="00D83E15"/>
    <w:rsid w:val="00D96A3D"/>
    <w:rsid w:val="00DD18E7"/>
    <w:rsid w:val="00DF6C20"/>
    <w:rsid w:val="00DF70DE"/>
    <w:rsid w:val="00E51D55"/>
    <w:rsid w:val="00E86F24"/>
    <w:rsid w:val="00EC159E"/>
    <w:rsid w:val="00EC55EE"/>
    <w:rsid w:val="00EF5957"/>
    <w:rsid w:val="00F428A9"/>
    <w:rsid w:val="00F81B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1047"/>
  <w15:chartTrackingRefBased/>
  <w15:docId w15:val="{88DBA5FF-EF34-4290-A6EE-E60F106A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7AA"/>
    <w:rPr>
      <w:rFonts w:eastAsiaTheme="majorEastAsia" w:cstheme="majorBidi"/>
      <w:color w:val="272727" w:themeColor="text1" w:themeTint="D8"/>
    </w:rPr>
  </w:style>
  <w:style w:type="paragraph" w:styleId="Title">
    <w:name w:val="Title"/>
    <w:basedOn w:val="Normal"/>
    <w:next w:val="Normal"/>
    <w:link w:val="TitleChar"/>
    <w:uiPriority w:val="10"/>
    <w:qFormat/>
    <w:rsid w:val="000D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7AA"/>
    <w:pPr>
      <w:spacing w:before="160"/>
      <w:jc w:val="center"/>
    </w:pPr>
    <w:rPr>
      <w:i/>
      <w:iCs/>
      <w:color w:val="404040" w:themeColor="text1" w:themeTint="BF"/>
    </w:rPr>
  </w:style>
  <w:style w:type="character" w:customStyle="1" w:styleId="QuoteChar">
    <w:name w:val="Quote Char"/>
    <w:basedOn w:val="DefaultParagraphFont"/>
    <w:link w:val="Quote"/>
    <w:uiPriority w:val="29"/>
    <w:rsid w:val="000D77AA"/>
    <w:rPr>
      <w:i/>
      <w:iCs/>
      <w:color w:val="404040" w:themeColor="text1" w:themeTint="BF"/>
    </w:rPr>
  </w:style>
  <w:style w:type="paragraph" w:styleId="ListParagraph">
    <w:name w:val="List Paragraph"/>
    <w:basedOn w:val="Normal"/>
    <w:uiPriority w:val="34"/>
    <w:qFormat/>
    <w:rsid w:val="000D77AA"/>
    <w:pPr>
      <w:ind w:left="720"/>
      <w:contextualSpacing/>
    </w:pPr>
  </w:style>
  <w:style w:type="character" w:styleId="IntenseEmphasis">
    <w:name w:val="Intense Emphasis"/>
    <w:basedOn w:val="DefaultParagraphFont"/>
    <w:uiPriority w:val="21"/>
    <w:qFormat/>
    <w:rsid w:val="000D77AA"/>
    <w:rPr>
      <w:i/>
      <w:iCs/>
      <w:color w:val="0F4761" w:themeColor="accent1" w:themeShade="BF"/>
    </w:rPr>
  </w:style>
  <w:style w:type="paragraph" w:styleId="IntenseQuote">
    <w:name w:val="Intense Quote"/>
    <w:basedOn w:val="Normal"/>
    <w:next w:val="Normal"/>
    <w:link w:val="IntenseQuoteChar"/>
    <w:uiPriority w:val="30"/>
    <w:qFormat/>
    <w:rsid w:val="000D7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7AA"/>
    <w:rPr>
      <w:i/>
      <w:iCs/>
      <w:color w:val="0F4761" w:themeColor="accent1" w:themeShade="BF"/>
    </w:rPr>
  </w:style>
  <w:style w:type="character" w:styleId="IntenseReference">
    <w:name w:val="Intense Reference"/>
    <w:basedOn w:val="DefaultParagraphFont"/>
    <w:uiPriority w:val="32"/>
    <w:qFormat/>
    <w:rsid w:val="000D77AA"/>
    <w:rPr>
      <w:b/>
      <w:bCs/>
      <w:smallCaps/>
      <w:color w:val="0F4761" w:themeColor="accent1" w:themeShade="BF"/>
      <w:spacing w:val="5"/>
    </w:rPr>
  </w:style>
  <w:style w:type="character" w:styleId="CommentReference">
    <w:name w:val="annotation reference"/>
    <w:basedOn w:val="DefaultParagraphFont"/>
    <w:uiPriority w:val="99"/>
    <w:semiHidden/>
    <w:unhideWhenUsed/>
    <w:rsid w:val="000D77AA"/>
    <w:rPr>
      <w:sz w:val="16"/>
      <w:szCs w:val="16"/>
    </w:rPr>
  </w:style>
  <w:style w:type="paragraph" w:styleId="CommentText">
    <w:name w:val="annotation text"/>
    <w:basedOn w:val="Normal"/>
    <w:link w:val="CommentTextChar"/>
    <w:uiPriority w:val="99"/>
    <w:unhideWhenUsed/>
    <w:rsid w:val="000D77AA"/>
    <w:pPr>
      <w:spacing w:line="240" w:lineRule="auto"/>
    </w:pPr>
    <w:rPr>
      <w:sz w:val="20"/>
      <w:szCs w:val="20"/>
    </w:rPr>
  </w:style>
  <w:style w:type="character" w:customStyle="1" w:styleId="CommentTextChar">
    <w:name w:val="Comment Text Char"/>
    <w:basedOn w:val="DefaultParagraphFont"/>
    <w:link w:val="CommentText"/>
    <w:uiPriority w:val="99"/>
    <w:rsid w:val="000D77AA"/>
    <w:rPr>
      <w:sz w:val="20"/>
      <w:szCs w:val="20"/>
      <w:lang w:val=""/>
    </w:rPr>
  </w:style>
  <w:style w:type="character" w:styleId="Hyperlink">
    <w:name w:val="Hyperlink"/>
    <w:basedOn w:val="DefaultParagraphFont"/>
    <w:uiPriority w:val="99"/>
    <w:unhideWhenUsed/>
    <w:rsid w:val="00F428A9"/>
    <w:rPr>
      <w:color w:val="467886" w:themeColor="hyperlink"/>
      <w:u w:val="single"/>
    </w:rPr>
  </w:style>
  <w:style w:type="character" w:styleId="UnresolvedMention">
    <w:name w:val="Unresolved Mention"/>
    <w:basedOn w:val="DefaultParagraphFont"/>
    <w:uiPriority w:val="99"/>
    <w:semiHidden/>
    <w:unhideWhenUsed/>
    <w:rsid w:val="00F428A9"/>
    <w:rPr>
      <w:color w:val="605E5C"/>
      <w:shd w:val="clear" w:color="auto" w:fill="E1DFDD"/>
    </w:rPr>
  </w:style>
  <w:style w:type="paragraph" w:styleId="Revision">
    <w:name w:val="Revision"/>
    <w:hidden/>
    <w:uiPriority w:val="99"/>
    <w:semiHidden/>
    <w:rsid w:val="00261E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mnxwap7.iai.co.il/supn02cyolo/index.aspx#/"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ai.co.il/public-and-employees-requests-and-complai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ai.co.il/public-and-employees-requests-and-complaints/" TargetMode="External"/><Relationship Id="rId5" Type="http://schemas.openxmlformats.org/officeDocument/2006/relationships/styles" Target="styles.xml"/><Relationship Id="rId10" Type="http://schemas.openxmlformats.org/officeDocument/2006/relationships/hyperlink" Target="http://mmnxwap7.iai.co.il/supn02cyolo/Documentation/cookiePolicy.pdf" TargetMode="External"/><Relationship Id="rId4" Type="http://schemas.openxmlformats.org/officeDocument/2006/relationships/numbering" Target="numbering.xml"/><Relationship Id="rId9" Type="http://schemas.openxmlformats.org/officeDocument/2006/relationships/hyperlink" Target="http://mmnxwap7.iai.co.il/supn02cyolo/Documentation/cookiePolic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144545EB21FB428AE6189F234C3AD4" ma:contentTypeVersion="16" ma:contentTypeDescription="Create a new document." ma:contentTypeScope="" ma:versionID="3d42fae7a94dd2f8566a9316621ec7ae">
  <xsd:schema xmlns:xsd="http://www.w3.org/2001/XMLSchema" xmlns:xs="http://www.w3.org/2001/XMLSchema" xmlns:p="http://schemas.microsoft.com/office/2006/metadata/properties" xmlns:ns3="787ab646-8916-435f-96f8-6675e66d0f1e" xmlns:ns4="a1c556bc-f882-435f-957c-918600d33f08" targetNamespace="http://schemas.microsoft.com/office/2006/metadata/properties" ma:root="true" ma:fieldsID="9b849291d2f5c0e4b4cd26640a2f4c54" ns3:_="" ns4:_="">
    <xsd:import namespace="787ab646-8916-435f-96f8-6675e66d0f1e"/>
    <xsd:import namespace="a1c556bc-f882-435f-957c-918600d33f0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ab646-8916-435f-96f8-6675e66d0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c556bc-f882-435f-957c-918600d33f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87ab646-8916-435f-96f8-6675e66d0f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9F3D20-2731-4BD8-BF2B-70DCCB523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ab646-8916-435f-96f8-6675e66d0f1e"/>
    <ds:schemaRef ds:uri="a1c556bc-f882-435f-957c-918600d33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71A1B-BCB9-4311-B860-D660AB1430F9}">
  <ds:schemaRefs>
    <ds:schemaRef ds:uri="http://schemas.microsoft.com/office/2006/metadata/properties"/>
    <ds:schemaRef ds:uri="http://schemas.microsoft.com/office/infopath/2007/PartnerControls"/>
    <ds:schemaRef ds:uri="787ab646-8916-435f-96f8-6675e66d0f1e"/>
  </ds:schemaRefs>
</ds:datastoreItem>
</file>

<file path=customXml/itemProps3.xml><?xml version="1.0" encoding="utf-8"?>
<ds:datastoreItem xmlns:ds="http://schemas.openxmlformats.org/officeDocument/2006/customXml" ds:itemID="{67739BD2-9CAA-4B83-89F9-C36C8A2724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1536</Words>
  <Characters>7681</Characters>
  <Application>Microsoft Office Word</Application>
  <DocSecurity>0</DocSecurity>
  <Lines>64</Lines>
  <Paragraphs>18</Paragraphs>
  <ScaleCrop>false</ScaleCrop>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Sapir Hacim</dc:creator>
  <cp:lastModifiedBy>Nir Dayan</cp:lastModifiedBy>
  <cp:revision>4</cp:revision>
  <dcterms:created xsi:type="dcterms:W3CDTF">2026-09-14T11:35:00Z</dcterms:created>
  <dcterms:modified xsi:type="dcterms:W3CDTF">2026-09-15T10:19:00Z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0x0101000B144545EB21FB428AE6189F234C3AD4</vt:lpwstr>
  </property>
</Properties>
</file>